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A4309" w14:textId="7609DCFD" w:rsidR="00DE00AF" w:rsidRDefault="0003354D" w:rsidP="009A7254">
      <w:pPr>
        <w:spacing w:after="200" w:line="276" w:lineRule="auto"/>
        <w:rPr>
          <w:rFonts w:ascii="Book Antiqua" w:hAnsi="Book Antiqua"/>
          <w:bCs/>
          <w:iCs/>
          <w:highlight w:val="yellow"/>
        </w:rPr>
      </w:pPr>
      <w:r w:rsidRPr="005548C4">
        <w:rPr>
          <w:noProof/>
        </w:rPr>
        <w:drawing>
          <wp:anchor distT="0" distB="0" distL="114300" distR="114300" simplePos="0" relativeHeight="251658240" behindDoc="0" locked="0" layoutInCell="1" allowOverlap="1" wp14:anchorId="736FCFAA" wp14:editId="76B6648F">
            <wp:simplePos x="0" y="0"/>
            <wp:positionH relativeFrom="column">
              <wp:posOffset>0</wp:posOffset>
            </wp:positionH>
            <wp:positionV relativeFrom="paragraph">
              <wp:posOffset>1905</wp:posOffset>
            </wp:positionV>
            <wp:extent cx="5943600" cy="1555115"/>
            <wp:effectExtent l="0" t="0" r="0" b="0"/>
            <wp:wrapSquare wrapText="bothSides"/>
            <wp:docPr id="1" name="Picture 1" descr="C:\Users\cditata\Downloads\MyRIACompliance-HORZ-1400X366.png"/>
            <wp:cNvGraphicFramePr/>
            <a:graphic xmlns:a="http://schemas.openxmlformats.org/drawingml/2006/main">
              <a:graphicData uri="http://schemas.openxmlformats.org/drawingml/2006/picture">
                <pic:pic xmlns:pic="http://schemas.openxmlformats.org/drawingml/2006/picture">
                  <pic:nvPicPr>
                    <pic:cNvPr id="1" name="Picture 1" descr="C:\Users\cditata\Downloads\MyRIACompliance-HORZ-1400X366.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555115"/>
                    </a:xfrm>
                    <a:prstGeom prst="rect">
                      <a:avLst/>
                    </a:prstGeom>
                    <a:noFill/>
                    <a:ln>
                      <a:noFill/>
                    </a:ln>
                  </pic:spPr>
                </pic:pic>
              </a:graphicData>
            </a:graphic>
          </wp:anchor>
        </w:drawing>
      </w:r>
    </w:p>
    <w:p w14:paraId="7E4CA306" w14:textId="77777777" w:rsidR="0003354D" w:rsidRPr="0003354D" w:rsidRDefault="0003354D" w:rsidP="0003354D">
      <w:pPr>
        <w:autoSpaceDE w:val="0"/>
        <w:autoSpaceDN w:val="0"/>
        <w:adjustRightInd w:val="0"/>
        <w:rPr>
          <w:rFonts w:ascii="Book Antiqua" w:eastAsia="Times New Roman" w:hAnsi="Book Antiqua"/>
          <w:b/>
          <w:i/>
          <w:iCs/>
        </w:rPr>
      </w:pPr>
      <w:bookmarkStart w:id="0" w:name="_Hlk26348738"/>
      <w:r w:rsidRPr="0003354D">
        <w:rPr>
          <w:rFonts w:ascii="Book Antiqua" w:eastAsia="Times New Roman" w:hAnsi="Book Antiqua"/>
          <w:i/>
          <w:iCs/>
        </w:rPr>
        <w:t>The following document is provided to You as a </w:t>
      </w:r>
      <w:r w:rsidRPr="0003354D">
        <w:rPr>
          <w:rFonts w:ascii="Book Antiqua" w:eastAsia="Times New Roman" w:hAnsi="Book Antiqua"/>
          <w:i/>
          <w:iCs/>
          <w:u w:val="single"/>
        </w:rPr>
        <w:t>sample</w:t>
      </w:r>
      <w:r w:rsidRPr="0003354D">
        <w:rPr>
          <w:rFonts w:ascii="Book Antiqua" w:eastAsia="Times New Roman" w:hAnsi="Book Antiqua"/>
          <w:i/>
          <w:iCs/>
        </w:rPr>
        <w:t xml:space="preserve"> only.  Prior to using or implementing this document or any portion thereof, </w:t>
      </w:r>
      <w:proofErr w:type="gramStart"/>
      <w:r w:rsidRPr="0003354D">
        <w:rPr>
          <w:rFonts w:ascii="Book Antiqua" w:eastAsia="Times New Roman" w:hAnsi="Book Antiqua"/>
          <w:i/>
          <w:iCs/>
        </w:rPr>
        <w:t>You</w:t>
      </w:r>
      <w:proofErr w:type="gramEnd"/>
      <w:r w:rsidRPr="0003354D">
        <w:rPr>
          <w:rFonts w:ascii="Book Antiqua" w:eastAsia="Times New Roman" w:hAnsi="Book Antiqua"/>
          <w:i/>
          <w:iCs/>
        </w:rPr>
        <w:t xml:space="preserve"> should tailor the contents, including any highlighted sections, to fit your specific situation and should consult relevant regulatory authorities and/or legal counsel. RIA in a Box and its compliance division (“We”) do not represent or warrant that the contents of the document are suitable for You from a compliance, regulatory, legal, or any other perspective. We shall have no responsibility or liability for your use or non-use of the document or any portion thereof. We are not law firms, investment advisory firms, or CPA firms and do not provide legal advice or opinions. </w:t>
      </w:r>
      <w:r w:rsidRPr="0003354D">
        <w:rPr>
          <w:rFonts w:ascii="Book Antiqua" w:eastAsia="Times New Roman" w:hAnsi="Book Antiqua"/>
          <w:b/>
          <w:i/>
          <w:iCs/>
        </w:rPr>
        <w:t xml:space="preserve">Please note that highlighted references should be changed to the actual intended reference. </w:t>
      </w:r>
    </w:p>
    <w:p w14:paraId="219DE602" w14:textId="5D1711EB" w:rsidR="0003354D" w:rsidRPr="0003354D" w:rsidRDefault="0003354D" w:rsidP="0003354D">
      <w:pPr>
        <w:autoSpaceDE w:val="0"/>
        <w:autoSpaceDN w:val="0"/>
        <w:adjustRightInd w:val="0"/>
        <w:rPr>
          <w:rFonts w:ascii="Book Antiqua" w:eastAsia="Times New Roman" w:hAnsi="Book Antiqua"/>
          <w:b/>
          <w:i/>
          <w:iCs/>
        </w:rPr>
      </w:pPr>
    </w:p>
    <w:p w14:paraId="418DB158" w14:textId="77777777" w:rsidR="0003354D" w:rsidRPr="0003354D" w:rsidRDefault="0003354D" w:rsidP="0003354D">
      <w:pPr>
        <w:pStyle w:val="Header"/>
        <w:rPr>
          <w:rFonts w:ascii="Book Antiqua" w:hAnsi="Book Antiqua"/>
        </w:rPr>
      </w:pPr>
    </w:p>
    <w:p w14:paraId="73D955E8" w14:textId="77777777" w:rsidR="0003354D" w:rsidRPr="0003354D" w:rsidRDefault="0003354D" w:rsidP="0003354D">
      <w:pPr>
        <w:shd w:val="clear" w:color="auto" w:fill="FFFFFF"/>
        <w:ind w:left="-720"/>
        <w:jc w:val="right"/>
        <w:rPr>
          <w:rStyle w:val="Emphasis"/>
          <w:rFonts w:ascii="Book Antiqua" w:hAnsi="Book Antiqua"/>
        </w:rPr>
      </w:pPr>
      <w:r w:rsidRPr="0003354D">
        <w:rPr>
          <w:rStyle w:val="Emphasis"/>
          <w:rFonts w:ascii="Book Antiqua" w:hAnsi="Book Antiqua"/>
        </w:rPr>
        <w:t>Copyright © 2018 RIA in a Box LLC</w:t>
      </w:r>
    </w:p>
    <w:p w14:paraId="38D4EDEB" w14:textId="77777777" w:rsidR="00DE00AF" w:rsidRDefault="00DE00AF" w:rsidP="009A7254">
      <w:pPr>
        <w:spacing w:after="200" w:line="276" w:lineRule="auto"/>
        <w:rPr>
          <w:rFonts w:ascii="Book Antiqua" w:hAnsi="Book Antiqua"/>
          <w:bCs/>
          <w:iCs/>
          <w:highlight w:val="yellow"/>
        </w:rPr>
      </w:pPr>
      <w:bookmarkStart w:id="1" w:name="_GoBack"/>
      <w:bookmarkEnd w:id="0"/>
      <w:bookmarkEnd w:id="1"/>
    </w:p>
    <w:p w14:paraId="43E4A388" w14:textId="77777777" w:rsidR="00DE00AF" w:rsidRDefault="00DE00AF" w:rsidP="009A7254">
      <w:pPr>
        <w:spacing w:after="200" w:line="276" w:lineRule="auto"/>
        <w:rPr>
          <w:rFonts w:ascii="Book Antiqua" w:hAnsi="Book Antiqua"/>
          <w:bCs/>
          <w:iCs/>
          <w:highlight w:val="yellow"/>
        </w:rPr>
      </w:pPr>
    </w:p>
    <w:p w14:paraId="1A250AD3" w14:textId="77777777" w:rsidR="00DE00AF" w:rsidRDefault="00DE00AF" w:rsidP="009A7254">
      <w:pPr>
        <w:spacing w:after="200" w:line="276" w:lineRule="auto"/>
        <w:rPr>
          <w:rFonts w:ascii="Book Antiqua" w:hAnsi="Book Antiqua"/>
          <w:bCs/>
          <w:iCs/>
          <w:highlight w:val="yellow"/>
        </w:rPr>
      </w:pPr>
    </w:p>
    <w:p w14:paraId="64865F62" w14:textId="77777777" w:rsidR="00DE00AF" w:rsidRDefault="00DE00AF" w:rsidP="009A7254">
      <w:pPr>
        <w:spacing w:after="200" w:line="276" w:lineRule="auto"/>
        <w:rPr>
          <w:rFonts w:ascii="Book Antiqua" w:hAnsi="Book Antiqua"/>
          <w:bCs/>
          <w:iCs/>
          <w:highlight w:val="yellow"/>
        </w:rPr>
      </w:pPr>
    </w:p>
    <w:p w14:paraId="0A67B2CE" w14:textId="4743514B" w:rsidR="00DE00AF" w:rsidRDefault="00DE00AF" w:rsidP="00DE00AF">
      <w:pPr>
        <w:autoSpaceDE w:val="0"/>
        <w:autoSpaceDN w:val="0"/>
        <w:adjustRightInd w:val="0"/>
        <w:rPr>
          <w:rStyle w:val="Emphasis"/>
        </w:rPr>
      </w:pPr>
    </w:p>
    <w:p w14:paraId="7C927685" w14:textId="19D9C913" w:rsidR="00DE00AF" w:rsidRDefault="00DE00AF" w:rsidP="00DE00AF">
      <w:pPr>
        <w:autoSpaceDE w:val="0"/>
        <w:autoSpaceDN w:val="0"/>
        <w:adjustRightInd w:val="0"/>
        <w:rPr>
          <w:rStyle w:val="Emphasis"/>
        </w:rPr>
      </w:pPr>
    </w:p>
    <w:p w14:paraId="5303A203" w14:textId="4D6B2B33" w:rsidR="00DE00AF" w:rsidRDefault="00DE00AF" w:rsidP="00DE00AF">
      <w:pPr>
        <w:autoSpaceDE w:val="0"/>
        <w:autoSpaceDN w:val="0"/>
        <w:adjustRightInd w:val="0"/>
        <w:rPr>
          <w:rStyle w:val="Emphasis"/>
        </w:rPr>
      </w:pPr>
    </w:p>
    <w:p w14:paraId="236522C3" w14:textId="79F36781" w:rsidR="00DE00AF" w:rsidRDefault="00DE00AF" w:rsidP="00DE00AF">
      <w:pPr>
        <w:autoSpaceDE w:val="0"/>
        <w:autoSpaceDN w:val="0"/>
        <w:adjustRightInd w:val="0"/>
        <w:rPr>
          <w:rStyle w:val="Emphasis"/>
        </w:rPr>
      </w:pPr>
    </w:p>
    <w:p w14:paraId="09D6C9CF" w14:textId="1008CD1D" w:rsidR="00DE00AF" w:rsidRDefault="00DE00AF" w:rsidP="00DE00AF">
      <w:pPr>
        <w:autoSpaceDE w:val="0"/>
        <w:autoSpaceDN w:val="0"/>
        <w:adjustRightInd w:val="0"/>
        <w:rPr>
          <w:rStyle w:val="Emphasis"/>
        </w:rPr>
      </w:pPr>
    </w:p>
    <w:p w14:paraId="3CB18CE1" w14:textId="02766830" w:rsidR="00DE00AF" w:rsidRDefault="00DE00AF" w:rsidP="00DE00AF">
      <w:pPr>
        <w:autoSpaceDE w:val="0"/>
        <w:autoSpaceDN w:val="0"/>
        <w:adjustRightInd w:val="0"/>
        <w:rPr>
          <w:rStyle w:val="Emphasis"/>
        </w:rPr>
      </w:pPr>
    </w:p>
    <w:p w14:paraId="1387A1C1" w14:textId="555511F3" w:rsidR="00DE00AF" w:rsidRDefault="00DE00AF" w:rsidP="00DE00AF">
      <w:pPr>
        <w:autoSpaceDE w:val="0"/>
        <w:autoSpaceDN w:val="0"/>
        <w:adjustRightInd w:val="0"/>
        <w:rPr>
          <w:rStyle w:val="Emphasis"/>
        </w:rPr>
      </w:pPr>
    </w:p>
    <w:p w14:paraId="3B9E87E5" w14:textId="4BD03641" w:rsidR="00DE00AF" w:rsidRDefault="00DE00AF" w:rsidP="00DE00AF">
      <w:pPr>
        <w:autoSpaceDE w:val="0"/>
        <w:autoSpaceDN w:val="0"/>
        <w:adjustRightInd w:val="0"/>
        <w:rPr>
          <w:rStyle w:val="Emphasis"/>
        </w:rPr>
      </w:pPr>
    </w:p>
    <w:p w14:paraId="0DBE4232" w14:textId="56FE1ED3" w:rsidR="00DE00AF" w:rsidRDefault="00DE00AF" w:rsidP="00DE00AF">
      <w:pPr>
        <w:autoSpaceDE w:val="0"/>
        <w:autoSpaceDN w:val="0"/>
        <w:adjustRightInd w:val="0"/>
        <w:rPr>
          <w:rStyle w:val="Emphasis"/>
        </w:rPr>
      </w:pPr>
    </w:p>
    <w:p w14:paraId="6DF17A5D" w14:textId="63F02956" w:rsidR="00DE00AF" w:rsidRDefault="00DE00AF" w:rsidP="00DE00AF">
      <w:pPr>
        <w:autoSpaceDE w:val="0"/>
        <w:autoSpaceDN w:val="0"/>
        <w:adjustRightInd w:val="0"/>
        <w:rPr>
          <w:rStyle w:val="Emphasis"/>
        </w:rPr>
      </w:pPr>
    </w:p>
    <w:p w14:paraId="0F6EA349" w14:textId="227ACF3C" w:rsidR="00DE00AF" w:rsidRDefault="00DE00AF" w:rsidP="00DE00AF">
      <w:pPr>
        <w:autoSpaceDE w:val="0"/>
        <w:autoSpaceDN w:val="0"/>
        <w:adjustRightInd w:val="0"/>
        <w:rPr>
          <w:rStyle w:val="Emphasis"/>
        </w:rPr>
      </w:pPr>
    </w:p>
    <w:p w14:paraId="5C6CEE9C" w14:textId="77777777" w:rsidR="00DE00AF" w:rsidRDefault="00DE00AF" w:rsidP="00DE00AF">
      <w:pPr>
        <w:autoSpaceDE w:val="0"/>
        <w:autoSpaceDN w:val="0"/>
        <w:adjustRightInd w:val="0"/>
        <w:rPr>
          <w:rFonts w:cs="Arial"/>
        </w:rPr>
      </w:pPr>
    </w:p>
    <w:p w14:paraId="74C805F7" w14:textId="7175B7DF" w:rsidR="00BD0EC6" w:rsidRPr="009A7254" w:rsidRDefault="00E60149" w:rsidP="009A7254">
      <w:pPr>
        <w:spacing w:after="200" w:line="276" w:lineRule="auto"/>
        <w:rPr>
          <w:rFonts w:ascii="Book Antiqua" w:hAnsi="Book Antiqua"/>
          <w:iCs/>
        </w:rPr>
      </w:pPr>
      <w:r w:rsidRPr="00E60149">
        <w:rPr>
          <w:rFonts w:ascii="Book Antiqua" w:hAnsi="Book Antiqua"/>
          <w:bCs/>
          <w:iCs/>
          <w:highlight w:val="yellow"/>
        </w:rPr>
        <w:t>RIA Firm Name</w:t>
      </w:r>
      <w:r w:rsidR="006C492A" w:rsidRPr="009A7254">
        <w:rPr>
          <w:rFonts w:ascii="Book Antiqua" w:hAnsi="Book Antiqua"/>
          <w:iCs/>
        </w:rPr>
        <w:t xml:space="preserve"> is a registered investment adviser.  Information presented is for educational purposes only and does not intend to make an offer or solicitation for the sale or purchase of any specific securities, investments, or investment strategies.  Investments involve risk and</w:t>
      </w:r>
      <w:r w:rsidR="00BF4A3B" w:rsidRPr="009A7254">
        <w:rPr>
          <w:rFonts w:ascii="Book Antiqua" w:hAnsi="Book Antiqua"/>
          <w:iCs/>
        </w:rPr>
        <w:t>,</w:t>
      </w:r>
      <w:r w:rsidR="006C492A" w:rsidRPr="009A7254">
        <w:rPr>
          <w:rFonts w:ascii="Book Antiqua" w:hAnsi="Book Antiqua"/>
          <w:iCs/>
        </w:rPr>
        <w:t xml:space="preserve"> unless otherwise stated, are not guaranteed.  Be sure to first consult with a qualified financial </w:t>
      </w:r>
      <w:r w:rsidR="006C492A" w:rsidRPr="009A7254">
        <w:rPr>
          <w:rFonts w:ascii="Book Antiqua" w:hAnsi="Book Antiqua"/>
          <w:iCs/>
        </w:rPr>
        <w:lastRenderedPageBreak/>
        <w:t>adviser and/or tax professional before implementing any strategy discussed herein.</w:t>
      </w:r>
      <w:r w:rsidR="00CA4F8B" w:rsidRPr="009A7254">
        <w:rPr>
          <w:rFonts w:ascii="Book Antiqua" w:hAnsi="Book Antiqua"/>
          <w:iCs/>
        </w:rPr>
        <w:t xml:space="preserve"> Past performance is not indicative of future performance.</w:t>
      </w:r>
    </w:p>
    <w:sectPr w:rsidR="00BD0EC6" w:rsidRPr="009A7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2A"/>
    <w:rsid w:val="0003354D"/>
    <w:rsid w:val="00086D20"/>
    <w:rsid w:val="005241E1"/>
    <w:rsid w:val="006069C2"/>
    <w:rsid w:val="006C492A"/>
    <w:rsid w:val="009A7254"/>
    <w:rsid w:val="00BB5603"/>
    <w:rsid w:val="00BD0EC6"/>
    <w:rsid w:val="00BF4A3B"/>
    <w:rsid w:val="00CA4F8B"/>
    <w:rsid w:val="00DE00AF"/>
    <w:rsid w:val="00E60149"/>
    <w:rsid w:val="00F0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7E43"/>
  <w15:docId w15:val="{AB847F6A-58BA-4E8C-80F1-B1B99A40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92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0EC6"/>
    <w:rPr>
      <w:color w:val="0000FF"/>
      <w:u w:val="single"/>
    </w:rPr>
  </w:style>
  <w:style w:type="character" w:styleId="Emphasis">
    <w:name w:val="Emphasis"/>
    <w:uiPriority w:val="20"/>
    <w:qFormat/>
    <w:rsid w:val="00DE00AF"/>
    <w:rPr>
      <w:i/>
      <w:iCs/>
    </w:rPr>
  </w:style>
  <w:style w:type="paragraph" w:styleId="Header">
    <w:name w:val="header"/>
    <w:basedOn w:val="Normal"/>
    <w:link w:val="HeaderChar"/>
    <w:uiPriority w:val="99"/>
    <w:unhideWhenUsed/>
    <w:rsid w:val="0003354D"/>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03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41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Ben South</cp:lastModifiedBy>
  <cp:revision>2</cp:revision>
  <dcterms:created xsi:type="dcterms:W3CDTF">2019-12-04T15:51:00Z</dcterms:created>
  <dcterms:modified xsi:type="dcterms:W3CDTF">2019-12-04T15:51:00Z</dcterms:modified>
</cp:coreProperties>
</file>